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3609A373" w14:textId="77777777" w:rsidTr="00BD0F1C">
        <w:tc>
          <w:tcPr>
            <w:tcW w:w="8054" w:type="dxa"/>
            <w:vAlign w:val="center"/>
          </w:tcPr>
          <w:p w14:paraId="47A88B52"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r>
              <w:rPr>
                <w:rFonts w:hint="eastAsia"/>
              </w:rPr>
              <w:t>Gi</w:t>
            </w:r>
            <w:r>
              <w:t>ờ</w:t>
            </w:r>
            <w:r>
              <w:rPr>
                <w:rFonts w:hint="eastAsia"/>
              </w:rPr>
              <w:t xml:space="preserve"> Ch</w:t>
            </w:r>
            <w:r>
              <w:t>ầ</w:t>
            </w:r>
            <w:r>
              <w:rPr>
                <w:rFonts w:hint="eastAsia"/>
              </w:rPr>
              <w:t>u</w:t>
            </w:r>
            <w:r w:rsidR="009B3831" w:rsidRPr="00C26BA9">
              <w:t xml:space="preserve"> Thánh Thể</w:t>
            </w:r>
          </w:p>
          <w:p w14:paraId="1555CD33" w14:textId="77777777" w:rsidR="009B3831" w:rsidRDefault="009B3831" w:rsidP="008B55C8">
            <w:pPr>
              <w:pStyle w:val="Title"/>
              <w:spacing w:after="0" w:line="192" w:lineRule="auto"/>
              <w:jc w:val="left"/>
            </w:pPr>
            <w:r w:rsidRPr="00A65B4F">
              <w:t>Eucharistic Adoration Gathering</w:t>
            </w:r>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666DA8CE" w14:textId="77777777" w:rsidTr="003C14BB">
              <w:trPr>
                <w:jc w:val="center"/>
              </w:trPr>
              <w:tc>
                <w:tcPr>
                  <w:tcW w:w="969" w:type="dxa"/>
                  <w:vAlign w:val="center"/>
                </w:tcPr>
                <w:p w14:paraId="0157AF20" w14:textId="6927789E" w:rsidR="003D1CB9" w:rsidRPr="008F5F62" w:rsidRDefault="00E959ED" w:rsidP="00EC7780">
                  <w:pPr>
                    <w:pStyle w:val="Title"/>
                    <w:rPr>
                      <w:rFonts w:asciiTheme="minorEastAsia" w:eastAsiaTheme="minorEastAsia" w:hAnsiTheme="minorEastAsia"/>
                      <w:sz w:val="72"/>
                      <w:szCs w:val="72"/>
                    </w:rPr>
                  </w:pPr>
                  <w:r>
                    <w:rPr>
                      <w:rFonts w:asciiTheme="minorEastAsia" w:eastAsiaTheme="minorEastAsia" w:hAnsiTheme="minorEastAsia"/>
                      <w:sz w:val="72"/>
                      <w:szCs w:val="72"/>
                    </w:rPr>
                    <w:t>C</w:t>
                  </w:r>
                </w:p>
              </w:tc>
              <w:tc>
                <w:tcPr>
                  <w:tcW w:w="6749" w:type="dxa"/>
                </w:tcPr>
                <w:p w14:paraId="1BE62031" w14:textId="77777777" w:rsidR="003D1CB9" w:rsidRPr="00C65759" w:rsidRDefault="00EC7780" w:rsidP="003D1CB9">
                  <w:pPr>
                    <w:pStyle w:val="Title"/>
                    <w:rPr>
                      <w:sz w:val="34"/>
                      <w:szCs w:val="34"/>
                    </w:rPr>
                  </w:pPr>
                  <w:r w:rsidRPr="00EC7780">
                    <w:rPr>
                      <w:sz w:val="34"/>
                      <w:szCs w:val="34"/>
                    </w:rPr>
                    <w:t xml:space="preserve">年間第XX主日</w:t>
                  </w:r>
                  <w:r>
                    <w:rPr>
                      <w:sz w:val="34"/>
                      <w:szCs w:val="34"/>
                    </w:rPr>
                  </w:r>
                  <w:r w:rsidRPr="00EC7780">
                    <w:rPr>
                      <w:sz w:val="34"/>
                      <w:szCs w:val="34"/>
                    </w:rPr>
                    <w:t xml:space="preserve"/>
                  </w:r>
                  <w:r w:rsidR="003D1CB9" w:rsidRPr="00C65759">
                    <w:rPr>
                      <w:rFonts w:hint="eastAsia"/>
                      <w:sz w:val="34"/>
                      <w:szCs w:val="34"/>
                    </w:rPr>
                    <w:t>・</w:t>
                  </w:r>
                  <w:r w:rsidRPr="00EC7780">
                    <w:rPr>
                      <w:sz w:val="34"/>
                      <w:szCs w:val="34"/>
                    </w:rPr>
                    <w:t xml:space="preserve">Chúa Nhật XX Thường Niên</w:t>
                  </w:r>
                  <w:r>
                    <w:rPr>
                      <w:sz w:val="34"/>
                      <w:szCs w:val="34"/>
                    </w:rPr>
                  </w:r>
                  <w:r w:rsidRPr="00EC7780">
                    <w:rPr>
                      <w:sz w:val="34"/>
                      <w:szCs w:val="34"/>
                    </w:rPr>
                    <w:t xml:space="preserve"/>
                  </w:r>
                  <w:r w:rsidR="003D1CB9" w:rsidRPr="00C65759">
                    <w:rPr>
                      <w:rFonts w:hint="eastAsia"/>
                      <w:sz w:val="34"/>
                      <w:szCs w:val="34"/>
                    </w:rPr>
                    <w:t>・</w:t>
                  </w:r>
                  <w:r w:rsidR="003D1CB9" w:rsidRPr="00C65759">
                    <w:rPr>
                      <w:sz w:val="34"/>
                      <w:szCs w:val="34"/>
                    </w:rPr>
                    <w:br/>
                  </w:r>
                  <w:r w:rsidRPr="00EC7780">
                    <w:rPr>
                      <w:sz w:val="34"/>
                      <w:szCs w:val="34"/>
                    </w:rPr>
                    <w:t xml:space="preserve">XX Sunday in Ordinary Time</w:t>
                  </w:r>
                  <w:r>
                    <w:rPr>
                      <w:sz w:val="34"/>
                      <w:szCs w:val="34"/>
                    </w:rPr>
                  </w:r>
                  <w:r w:rsidRPr="00EC7780">
                    <w:rPr>
                      <w:sz w:val="34"/>
                      <w:szCs w:val="34"/>
                    </w:rPr>
                    <w:t xml:space="preserve"/>
                  </w:r>
                  <w:r w:rsidR="003D1CB9" w:rsidRPr="00C65759">
                    <w:rPr>
                      <w:rFonts w:hint="eastAsia"/>
                      <w:sz w:val="34"/>
                      <w:szCs w:val="34"/>
                    </w:rPr>
                    <w:t>・</w:t>
                  </w:r>
                  <w:r w:rsidRPr="00EC7780">
                    <w:rPr>
                      <w:sz w:val="34"/>
                      <w:szCs w:val="34"/>
                    </w:rPr>
                    <w:t xml:space="preserve">연중 제XX주일</w:t>
                  </w:r>
                  <w:r>
                    <w:rPr>
                      <w:sz w:val="34"/>
                      <w:szCs w:val="34"/>
                    </w:rPr>
                  </w:r>
                  <w:r w:rsidRPr="00EC7780">
                    <w:rPr>
                      <w:sz w:val="34"/>
                      <w:szCs w:val="34"/>
                    </w:rPr>
                    <w:t xml:space="preserve"/>
                  </w:r>
                </w:p>
              </w:tc>
            </w:tr>
          </w:tbl>
          <w:p w14:paraId="17F1C43D" w14:textId="77777777" w:rsidR="002F20F3" w:rsidRPr="002F20F3" w:rsidRDefault="002F20F3" w:rsidP="002F20F3"/>
        </w:tc>
        <w:tc>
          <w:tcPr>
            <w:tcW w:w="5076" w:type="dxa"/>
            <w:vAlign w:val="center"/>
          </w:tcPr>
          <w:p w14:paraId="3102086A" w14:textId="71D59B00" w:rsidR="009B3831" w:rsidRPr="00CD584D" w:rsidRDefault="009B3831" w:rsidP="00BD0F1C">
            <w:pPr>
              <w:pStyle w:val="Title"/>
              <w:rPr>
                <w:rFonts w:asciiTheme="minorEastAsia" w:eastAsiaTheme="minorEastAsia" w:hAnsiTheme="minorEastAsia"/>
              </w:rPr>
            </w:pP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341E4D4C" w:rsidR="002422AB" w:rsidRPr="00DE1FD9" w:rsidRDefault="00DE1FD9" w:rsidP="00DE1FD9">
      <w:pPr>
        <w:pStyle w:val="Title"/>
      </w:pPr>
      <w:r w:rsidRPr="005E7633">
        <w:rPr>
          <w:noProof/>
        </w:rPr>
        <w:drawing>
          <wp:inline distT="0" distB="0" distL="0" distR="0" wp14:anchorId="1CCBD18C" wp14:editId="52329A83">
            <wp:extent cx="8337550" cy="1232535"/>
            <wp:effectExtent l="0" t="0" r="6350" b="5715"/>
            <wp:docPr id="29946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21765"/>
                    <a:stretch/>
                  </pic:blipFill>
                  <pic:spPr bwMode="auto">
                    <a:xfrm>
                      <a:off x="0" y="0"/>
                      <a:ext cx="8337550" cy="1232535"/>
                    </a:xfrm>
                    <a:prstGeom prst="rect">
                      <a:avLst/>
                    </a:prstGeom>
                    <a:noFill/>
                    <a:ln>
                      <a:noFill/>
                    </a:ln>
                    <a:extLst>
                      <a:ext uri="{53640926-AAD7-44D8-BBD7-CCE9431645EC}">
                        <a14:shadowObscured xmlns:a14="http://schemas.microsoft.com/office/drawing/2010/main"/>
                      </a:ext>
                    </a:extLst>
                  </pic:spPr>
                </pic:pic>
              </a:graphicData>
            </a:graphic>
          </wp:inline>
        </w:drawing>
      </w:r>
      <w:r w:rsidRPr="00763799">
        <w:rPr>
          <w:noProof/>
        </w:rPr>
        <w:drawing>
          <wp:inline distT="0" distB="0" distL="0" distR="0" wp14:anchorId="7A5E6555" wp14:editId="1262749A">
            <wp:extent cx="8262207" cy="1438275"/>
            <wp:effectExtent l="0" t="0" r="5715" b="0"/>
            <wp:docPr id="52618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72929" cy="1440142"/>
                    </a:xfrm>
                    <a:prstGeom prst="rect">
                      <a:avLst/>
                    </a:prstGeom>
                    <a:noFill/>
                    <a:ln>
                      <a:noFill/>
                    </a:ln>
                  </pic:spPr>
                </pic:pic>
              </a:graphicData>
            </a:graphic>
          </wp:inline>
        </w:drawing>
      </w:r>
      <w:r w:rsidRPr="007773BD">
        <w:rPr>
          <w:noProof/>
          <w:lang w:val="en-GB"/>
        </w:rPr>
        <w:drawing>
          <wp:inline distT="0" distB="0" distL="0" distR="0" wp14:anchorId="66200232" wp14:editId="75013897">
            <wp:extent cx="8337550" cy="3171825"/>
            <wp:effectExtent l="0" t="0" r="6350" b="9525"/>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3171825"/>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 xml:space="preserve">ルカ</w:t>
      </w:r>
      <w:r>
        <w:rPr>
          <w:b/>
          <w:bCs/>
          <w:sz w:val="32"/>
          <w:szCs w:val="32"/>
        </w:rPr>
      </w:r>
      <w:r w:rsidRPr="000D054D">
        <w:rPr>
          <w:b/>
          <w:bCs/>
          <w:sz w:val="32"/>
          <w:szCs w:val="32"/>
        </w:rPr>
        <w:t xml:space="preserve"/>
      </w:r>
      <w:r w:rsidR="0069637B" w:rsidRPr="00873B5D">
        <w:rPr>
          <w:rFonts w:hint="eastAsia"/>
          <w:b/>
          <w:bCs/>
          <w:sz w:val="32"/>
          <w:szCs w:val="32"/>
        </w:rPr>
        <w:t>による福音。</w:t>
      </w:r>
    </w:p>
    <w:p w14:paraId="6E77D086" w14:textId="77777777"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 xml:space="preserve">そのとき、イエスは弟子たちに言われた。「わたしが来たのは、地上に火を投ずるためである。その火が既に燃えていたらと、どんなに願っていることか。しかし、わたしには受けねばならない洗礼がある。それが終わるまで、わたしはどんなに苦しむことだろう。あなたがたは、わたしが地上に平和をもたらすために来たと思うのか。そうではない。言っておくが、むしろ分裂だ。今から後、一つの家に五人いるならば、三人は二人と、二人は三人と対立して分かれるからである。父は子と、子は父と、母は娘と、娘は母と、しゅうとめは嫁と、嫁はしゅうとめと、対立して分かれる。」</w:t>
      </w:r>
      <w:r>
        <w:rPr>
          <w:rFonts w:asciiTheme="minorEastAsia" w:hAnsiTheme="minorEastAsia"/>
          <w:sz w:val="32"/>
          <w:szCs w:val="32"/>
        </w:rPr>
      </w:r>
      <w:r w:rsidRPr="00A17B79">
        <w:rPr>
          <w:rFonts w:asciiTheme="minorEastAsia" w:hAnsiTheme="minorEastAsia"/>
          <w:sz w:val="32"/>
          <w:szCs w:val="32"/>
        </w:rPr>
        <w:t xml:space="preserve"/>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 xml:space="preserve">Luke</w:t>
      </w:r>
      <w:r w:rsidR="000D054D">
        <w:rPr>
          <w:b/>
          <w:bCs/>
          <w:color w:val="auto"/>
          <w:sz w:val="34"/>
          <w:szCs w:val="34"/>
          <w:shd w:val="clear" w:color="auto" w:fill="FFFFFF"/>
          <w:lang w:val="en-GB"/>
        </w:rPr>
      </w:r>
      <w:r w:rsidR="000D054D" w:rsidRPr="000D054D">
        <w:rPr>
          <w:b/>
          <w:bCs/>
          <w:color w:val="auto"/>
          <w:sz w:val="34"/>
          <w:szCs w:val="34"/>
          <w:shd w:val="clear" w:color="auto" w:fill="FFFFFF"/>
          <w:lang w:val="en-GB"/>
        </w:rPr>
        <w:t xml:space="preserve"/>
      </w:r>
      <w:r w:rsidRPr="00060077">
        <w:rPr>
          <w:b/>
          <w:bCs/>
          <w:color w:val="auto"/>
          <w:sz w:val="34"/>
          <w:szCs w:val="34"/>
          <w:shd w:val="clear" w:color="auto" w:fill="FFFFFF"/>
          <w:lang w:val="en-GB"/>
        </w:rPr>
        <w:t>.</w:t>
      </w:r>
    </w:p>
    <w:p w14:paraId="2084997D" w14:textId="77777777" w:rsidR="00D27839" w:rsidRPr="007773BD" w:rsidRDefault="00A17B79" w:rsidP="004F1443">
      <w:pPr>
        <w:spacing w:line="240" w:lineRule="auto"/>
        <w:rPr>
          <w:sz w:val="32"/>
          <w:szCs w:val="32"/>
          <w:lang w:val="en-GB"/>
        </w:rPr>
      </w:pPr>
      <w:r w:rsidRPr="00A17B79">
        <w:rPr>
          <w:sz w:val="32"/>
          <w:szCs w:val="32"/>
          <w:lang w:val="en-GB"/>
        </w:rPr>
        <w:t xml:space="preserve">Jesus said to his disciples: "I have come to set the earth on fire, and how I wish it were already blazing! There is a baptism with which I must be baptized, and how great is my anguish until it is accomplished! Do you think that I have come to establish peace on the earth? No, I tell you, but rather division. From now on a household of five will be divided, three against two and two against three; a father will be divided against his son and a son against his father, a mother against her daughter and a daughter against her mother, a mother-in-law against her daughter-in-law and a daughter-in-law against her mother-in-law."</w:t>
      </w:r>
      <w:r>
        <w:rPr>
          <w:sz w:val="32"/>
          <w:szCs w:val="32"/>
          <w:lang w:val="en-GB"/>
        </w:rPr>
      </w:r>
      <w:r w:rsidRPr="00A17B79">
        <w:rPr>
          <w:sz w:val="32"/>
          <w:szCs w:val="32"/>
          <w:lang w:val="en-GB"/>
        </w:rPr>
        <w:t xml:space="preserve"/>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r w:rsidRPr="00060077">
        <w:rPr>
          <w:b/>
          <w:bCs/>
          <w:sz w:val="34"/>
          <w:szCs w:val="34"/>
        </w:rPr>
        <w:t xml:space="preserve">Tin Mừng Chúa Giêsu Kitô theo Thánh </w:t>
      </w:r>
      <w:r w:rsidR="000D054D" w:rsidRPr="000D054D">
        <w:rPr>
          <w:b/>
          <w:bCs/>
          <w:sz w:val="34"/>
          <w:szCs w:val="34"/>
        </w:rPr>
        <w:t xml:space="preserve">Luca</w:t>
      </w:r>
      <w:r w:rsidR="000D054D">
        <w:rPr>
          <w:b/>
          <w:bCs/>
          <w:sz w:val="34"/>
          <w:szCs w:val="34"/>
        </w:rPr>
      </w:r>
      <w:r w:rsidR="000D054D" w:rsidRPr="000D054D">
        <w:rPr>
          <w:b/>
          <w:bCs/>
          <w:sz w:val="34"/>
          <w:szCs w:val="34"/>
        </w:rPr>
        <w:t xml:space="preserve"/>
      </w:r>
      <w:r w:rsidRPr="00060077">
        <w:rPr>
          <w:b/>
          <w:bCs/>
          <w:sz w:val="34"/>
          <w:szCs w:val="34"/>
        </w:rPr>
        <w:t>.</w:t>
      </w:r>
    </w:p>
    <w:p w14:paraId="2E114F1B" w14:textId="77777777" w:rsidR="005A712C" w:rsidRDefault="009B7F7E" w:rsidP="00393227">
      <w:pPr>
        <w:rPr>
          <w:sz w:val="32"/>
          <w:szCs w:val="32"/>
        </w:rPr>
      </w:pPr>
      <w:r w:rsidRPr="009B7F7E">
        <w:rPr>
          <w:sz w:val="32"/>
          <w:szCs w:val="32"/>
        </w:rPr>
        <w:t xml:space="preserve">Thầy đã đến đem lửa xuống thế gian và Thầy mong muốn biết bao cho lửa cháy lên. Thầy phải chịu một phép rửa, và lòng Thầy khắc khoải biết bao cho đến khi hoàn tất. Các con tưởng Thầy đến để đem sự bình an xuống thế gian ư? Thầy bảo các con: không phải thế, nhưng Thầy đến để đem sự chia rẽ. Vì từ nay, năm người trong một nhà sẽ chia rẽ nhau, ba người chống lại hai, và hai người chống lại ba: cha chống đối con trai, và con trai chống đối cha; mẹ chống đối con gái, và con gái chống đối mẹ; mẹ chồng chống đối nàng dâu, và nàng dâu chống đối mẹ chồng.</w:t>
      </w:r>
      <w:r>
        <w:rPr>
          <w:sz w:val="32"/>
          <w:szCs w:val="32"/>
        </w:rPr>
      </w:r>
      <w:r w:rsidRPr="009B7F7E">
        <w:rPr>
          <w:sz w:val="32"/>
          <w:szCs w:val="32"/>
        </w:rPr>
        <w:t xml:space="preserve"/>
      </w:r>
    </w:p>
    <w:p w14:paraId="691481B8" w14:textId="77777777" w:rsidR="009D0A24" w:rsidRPr="00C67130" w:rsidRDefault="009D0A24" w:rsidP="009D0A24">
      <w:pPr>
        <w:rPr>
          <w:b/>
          <w:bCs/>
          <w:szCs w:val="28"/>
        </w:rPr>
      </w:pPr>
      <w:r w:rsidRPr="00C67130">
        <w:rPr>
          <w:b/>
          <w:bCs/>
          <w:szCs w:val="28"/>
        </w:rPr>
        <w:t>(</w:t>
      </w:r>
      <w:r>
        <w:rPr>
          <w:rFonts w:hint="eastAsia"/>
          <w:b/>
          <w:bCs/>
          <w:szCs w:val="28"/>
        </w:rPr>
        <w:t>Xin không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r>
        <w:rPr>
          <w:rFonts w:hint="eastAsia"/>
          <w:b/>
          <w:bCs/>
          <w:szCs w:val="28"/>
        </w:rPr>
        <w:t xml:space="preserve">Đó là </w:t>
      </w:r>
      <w:r w:rsidRPr="00C67130">
        <w:rPr>
          <w:b/>
          <w:bCs/>
          <w:szCs w:val="28"/>
        </w:rPr>
        <w:t>Lời Chúa")</w:t>
      </w:r>
    </w:p>
    <w:p w14:paraId="52C1518D"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 xml:space="preserve">루카가</w:t>
      </w:r>
      <w:r>
        <w:rPr>
          <w:rFonts w:ascii="Malgun Gothic" w:eastAsia="Malgun Gothic" w:hAnsi="Malgun Gothic" w:cs="Malgun Gothic"/>
          <w:b/>
          <w:bCs/>
          <w:sz w:val="32"/>
          <w:szCs w:val="32"/>
        </w:rPr>
      </w:r>
      <w:r w:rsidRPr="000D054D">
        <w:rPr>
          <w:rFonts w:ascii="Malgun Gothic" w:eastAsia="Malgun Gothic" w:hAnsi="Malgun Gothic" w:cs="Malgun Gothic"/>
          <w:b/>
          <w:bCs/>
          <w:sz w:val="32"/>
          <w:szCs w:val="32"/>
        </w:rPr>
        <w:t xml:space="preserve"/>
      </w:r>
      <w:r w:rsidR="000B1E79" w:rsidRPr="000B1E79">
        <w:rPr>
          <w:rFonts w:ascii="Malgun Gothic" w:eastAsia="Malgun Gothic" w:hAnsi="Malgun Gothic" w:cs="Malgun Gothic"/>
          <w:b/>
          <w:bCs/>
          <w:sz w:val="32"/>
          <w:szCs w:val="32"/>
        </w:rPr>
        <w:t xml:space="preserve"> 전한 거룩한 복음입니다.</w:t>
      </w:r>
    </w:p>
    <w:p w14:paraId="03FF3A8F" w14:textId="77777777"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t xml:space="preserve">나는 세상에 불을 지르러 왔다. 그 불이 이미 타올랐으면 얼마나 좋으랴? 내가 받아야 하는 세례가 있다.이 일이 다 이루어질 때까지 내가 얼마나 짓눌릴 것인가? 내가 세상에 평화를 주러 왔다고 생각하느냐?아니다. 내가 너희에게 말한다. 오히려 분열을 일으키러 왔다. 이제부터는 한 집안의 다섯 식구가 서로 갈라져,세 사람이 두 사람에게 맞서고 두 사람이 세 사람에게 맞설 것이다. 아버지가 아들에게, 아들이 아버지에게, 어머니가 딸에게, 딸이 어머니에게시어머니가 며느리에게, 며느리가 시어머니에게 맞서 갈라지게 될 것이다.</w:t>
      </w:r>
      <w:r>
        <w:rPr>
          <w:rFonts w:ascii="Malgun Gothic" w:eastAsia="Malgun Gothic" w:hAnsi="Malgun Gothic" w:cs="Malgun Gothic"/>
          <w:szCs w:val="28"/>
        </w:rPr>
      </w:r>
      <w:r w:rsidRPr="009B7F7E">
        <w:rPr>
          <w:rFonts w:ascii="Malgun Gothic" w:eastAsia="Malgun Gothic" w:hAnsi="Malgun Gothic" w:cs="Malgun Gothic"/>
          <w:szCs w:val="28"/>
        </w:rPr>
        <w:t xml:space="preserve"/>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9B7F7E" w:rsidRDefault="009B7F7E" w:rsidP="000A07EC">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 xml:space="preserve">イエス様は、平和をもたらすのではなく、分裂をもたらすために来たと言われます。これはどういう意味でしょうか？これは、イエス様を信じ、従うことが私たちの全存在を意味し、信仰が心に根を下ろすことを意味します。家族の中でこれが共有されず、反対さえある場合、これは分裂につながる可能性さえあります。</w:t>
      </w:r>
      <w:r>
        <w:rPr>
          <w:rFonts w:asciiTheme="minorEastAsia" w:hAnsiTheme="minorEastAsia" w:cs="Malgun Gothic"/>
          <w:sz w:val="32"/>
          <w:szCs w:val="32"/>
          <w:lang w:val="en-GB"/>
        </w:rPr>
      </w:r>
      <w:r w:rsidRPr="009B7F7E">
        <w:rPr>
          <w:rFonts w:asciiTheme="minorEastAsia" w:hAnsiTheme="minorEastAsia" w:cs="Malgun Gothic"/>
          <w:sz w:val="32"/>
          <w:szCs w:val="32"/>
          <w:lang w:val="en-GB"/>
        </w:rPr>
        <w:t xml:space="preserve"/>
      </w:r>
    </w:p>
    <w:p w14:paraId="42BB2ED2" w14:textId="77777777" w:rsidR="009B7F7E" w:rsidRPr="009B7F7E" w:rsidRDefault="009B7F7E" w:rsidP="009B7F7E">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 xml:space="preserve">そのため、イエス様は私たちに、ご自身が十字架でなさったように、私たちの命を捧げるよう呼びかけられます。あなたの信仰生活の中でどのような困難や対立に直面していますか？それらにどのように対処していますか？あなたの答えをイエス様と共有してください。</w:t>
      </w:r>
      <w:r>
        <w:rPr>
          <w:rFonts w:asciiTheme="minorEastAsia" w:hAnsiTheme="minorEastAsia" w:cs="Malgun Gothic"/>
          <w:sz w:val="32"/>
          <w:szCs w:val="32"/>
          <w:lang w:val="en-GB"/>
        </w:rPr>
      </w:r>
      <w:r w:rsidRPr="009B7F7E">
        <w:rPr>
          <w:rFonts w:asciiTheme="minorEastAsia" w:hAnsiTheme="minorEastAsia" w:cs="Malgun Gothic"/>
          <w:sz w:val="32"/>
          <w:szCs w:val="32"/>
          <w:lang w:val="en-GB"/>
        </w:rPr>
        <w:t xml:space="preserve"/>
      </w:r>
    </w:p>
    <w:p w14:paraId="220003A2" w14:textId="77777777" w:rsidR="0064446A" w:rsidRPr="009B7F7E" w:rsidRDefault="009B7F7E" w:rsidP="00F272BA">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 xml:space="preserve">イエス様のこれらの言葉を心に留め、愛に基づいた一致の賜物を祈り求めましょう。分裂に対抗するために、主に隣人への愛を生きる恵みを祈り求めましょう。</w:t>
      </w:r>
      <w:r>
        <w:rPr>
          <w:rFonts w:asciiTheme="minorEastAsia" w:hAnsiTheme="minorEastAsia" w:cs="Malgun Gothic"/>
          <w:sz w:val="32"/>
          <w:szCs w:val="32"/>
          <w:lang w:val="en-GB"/>
        </w:rPr>
      </w:r>
      <w:r w:rsidRPr="009B7F7E">
        <w:rPr>
          <w:rFonts w:asciiTheme="minorEastAsia" w:hAnsiTheme="minorEastAsia" w:cs="Malgun Gothic"/>
          <w:sz w:val="32"/>
          <w:szCs w:val="32"/>
          <w:lang w:val="en-GB"/>
        </w:rPr>
        <w:t xml:space="preserve"/>
      </w:r>
    </w:p>
    <w:p w14:paraId="7598336B" w14:textId="77777777" w:rsidR="001B79CE" w:rsidRPr="009B7F7E" w:rsidRDefault="009B7F7E" w:rsidP="0054304B">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 xml:space="preserve">Jesus says that instead of peace, He has come to bring division. What does this mean? It means that believing in Jesus and following Him involves our whole being, and faith takes root in the heart. When this is not shared within the family and even faces opposition, it can even lead to division.</w:t>
        <w:t xml:space="preserve"/>
      </w:r>
    </w:p>
    <w:p w14:paraId="6AF97A58" w14:textId="77777777" w:rsidR="00473BCD"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 xml:space="preserve">That is why Jesus calls us to give our lives as He Himself did on the cross. What difficulties or even confrontations do you encounter in your life of faith? How do you face them? Share your answer with Jesus.</w:t>
      </w:r>
      <w:r>
        <w:rPr>
          <w:rFonts w:ascii="Calibri" w:hAnsi="Calibri" w:cs="Calibri"/>
          <w:sz w:val="32"/>
          <w:szCs w:val="32"/>
          <w:lang w:val="en-GB"/>
        </w:rPr>
      </w:r>
      <w:r w:rsidRPr="009B7F7E">
        <w:rPr>
          <w:rFonts w:ascii="Calibri" w:hAnsi="Calibri" w:cs="Calibri"/>
          <w:sz w:val="32"/>
          <w:szCs w:val="32"/>
          <w:lang w:val="en-GB"/>
        </w:rPr>
        <w:t xml:space="preserve"/>
      </w:r>
    </w:p>
    <w:p w14:paraId="7FD76026" w14:textId="77777777" w:rsidR="009B7F7E" w:rsidRPr="00C562B1"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 xml:space="preserve">Keeping these words of Jesus in mind, let us pray for the gift of unity grounded in love. To fight against division, let us ask the Lord for the grace to live charity toward our neighbor.</w:t>
      </w:r>
      <w:r>
        <w:rPr>
          <w:rFonts w:ascii="Calibri" w:hAnsi="Calibri" w:cs="Calibri"/>
          <w:sz w:val="32"/>
          <w:szCs w:val="32"/>
          <w:lang w:val="en-GB"/>
        </w:rPr>
      </w:r>
      <w:r w:rsidRPr="009B7F7E">
        <w:rPr>
          <w:rFonts w:ascii="Calibri" w:hAnsi="Calibri" w:cs="Calibri"/>
          <w:sz w:val="32"/>
          <w:szCs w:val="32"/>
          <w:lang w:val="en-GB"/>
        </w:rPr>
        <w:t xml:space="preserve"/>
      </w:r>
    </w:p>
    <w:p w14:paraId="04909E73" w14:textId="77777777" w:rsidR="00D65D85" w:rsidRPr="00F95089" w:rsidRDefault="000A4B85"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 xml:space="preserve">Chúa Giêsu nói rằng thay vì mang lại hòa bình, Ngài đến để gây ra sự chia rẽ. Điều này có nghĩa là gì? Nó có nghĩa là tin vào Chúa Giêsu và theo Ngài đòi hỏi toàn bộ con người chúng ta và đức tin bén rễ trong trái tim. Khi điều này không được chia sẻ trong gia đình và thậm chí gặp phải sự phản đối, nó thậm chí có thể dẫn đến sự chia rẽ.</w:t>
      </w:r>
      <w:r w:rsidR="00F95089">
        <w:rPr>
          <w:rFonts w:cs="Calibri"/>
          <w:sz w:val="32"/>
          <w:szCs w:val="32"/>
          <w:lang w:val="en-GB"/>
        </w:rPr>
      </w:r>
      <w:r w:rsidRPr="00F95089">
        <w:rPr>
          <w:rFonts w:cs="Calibri"/>
          <w:sz w:val="32"/>
          <w:szCs w:val="32"/>
          <w:lang w:val="en-GB"/>
        </w:rPr>
        <w:t xml:space="preserve"/>
      </w:r>
    </w:p>
    <w:p w14:paraId="3B1B5302" w14:textId="77777777" w:rsidR="00D65D85" w:rsidRPr="00D65D85" w:rsidRDefault="00F95089"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 xml:space="preserve">Vì vậy, Chúa Giêsu kêu gọi chúng ta dâng hiến cuộc sống của mình như chính Ngài đã làm trên thập giá. Bạn gặp phải những khó khăn hay thậm chí đối đầu nào trong đời sống đức tin của mình? Bạn đối mặt với chúng như thế nào? Hãy chia sẻ câu trả lời của bạn với Chúa Giêsu.</w:t>
      </w:r>
      <w:r>
        <w:rPr>
          <w:rFonts w:cs="Calibri"/>
          <w:sz w:val="32"/>
          <w:szCs w:val="32"/>
          <w:lang w:val="en-GB"/>
        </w:rPr>
      </w:r>
      <w:r w:rsidRPr="00F95089">
        <w:rPr>
          <w:rFonts w:cs="Calibri"/>
          <w:sz w:val="32"/>
          <w:szCs w:val="32"/>
          <w:lang w:val="en-GB"/>
        </w:rPr>
        <w:t xml:space="preserve"/>
      </w:r>
    </w:p>
    <w:p w14:paraId="224C342B" w14:textId="77777777" w:rsidR="00FA2099" w:rsidRPr="00D65D85" w:rsidRDefault="00F95089" w:rsidP="000F0349">
      <w:pPr>
        <w:pStyle w:val="ListParagraph"/>
        <w:numPr>
          <w:ilvl w:val="0"/>
          <w:numId w:val="16"/>
        </w:numPr>
        <w:spacing w:line="240" w:lineRule="auto"/>
        <w:ind w:left="0"/>
        <w:rPr>
          <w:sz w:val="32"/>
          <w:szCs w:val="32"/>
          <w:lang w:val="en-GB"/>
        </w:rPr>
      </w:pPr>
      <w:r w:rsidRPr="00F95089">
        <w:rPr>
          <w:rFonts w:cs="Calibri"/>
          <w:sz w:val="32"/>
          <w:szCs w:val="32"/>
          <w:lang w:val="en-GB"/>
        </w:rPr>
        <w:t xml:space="preserve">Hãy ghi nhớ những lời này của Chúa Giêsu và cầu xin ơn hiệp nhất được xây dựng trên tình yêu. Để chống lại sự chia rẽ, chúng ta hãy cầu xin Chúa ban ơn sống bác ái với người lân cận.</w:t>
      </w:r>
      <w:r>
        <w:rPr>
          <w:rFonts w:cs="Calibri"/>
          <w:sz w:val="32"/>
          <w:szCs w:val="32"/>
          <w:lang w:val="en-GB"/>
        </w:rPr>
      </w:r>
      <w:r w:rsidRPr="00F95089">
        <w:rPr>
          <w:rFonts w:cs="Calibri"/>
          <w:sz w:val="32"/>
          <w:szCs w:val="32"/>
          <w:lang w:val="en-GB"/>
        </w:rPr>
        <w:t xml:space="preserve"/>
      </w:r>
    </w:p>
    <w:p w14:paraId="607A1130" w14:textId="77777777"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 xml:space="preserve">예수님은 평화 대신 분열을 가져오러 왔다고 말씀하십니다. 이것은 무엇을 의미합니까? 이것은 예수님을 믿고 따르는 것이 우리의 전 존재를 포함하며, 믿음이 마음에 뿌리를 내린다는 것을 의미합니다. 가족 안에서 이것이 공유되지 않고 반대까지 있을 때, 이것은 심지어 분열로 이어질 수 있습니다.</w:t>
      </w:r>
      <w:r>
        <w:rPr>
          <w:rFonts w:ascii="Malgun Gothic" w:eastAsia="Malgun Gothic" w:hAnsi="Malgun Gothic" w:cs="Malgun Gothic"/>
          <w:szCs w:val="28"/>
        </w:rPr>
      </w:r>
      <w:r w:rsidRPr="009B7F7E">
        <w:rPr>
          <w:rFonts w:ascii="Malgun Gothic" w:eastAsia="Malgun Gothic" w:hAnsi="Malgun Gothic" w:cs="Malgun Gothic"/>
          <w:szCs w:val="28"/>
        </w:rPr>
        <w:t xml:space="preserve"/>
      </w:r>
    </w:p>
    <w:p w14:paraId="45F247C9" w14:textId="4D63445D"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 xml:space="preserve">그래서 예수님은 우리에게 십자가에서 하신 것처럼 우리의 삶을 바치라고 부르십니다. 당신의 신앙 생활에서 어떤 어려움이나 대립을 겪고 있습니까? 어떻게 그것들을 대처하고 있습니까? 당신의 답을 예수님과 나누십시오.</w:t>
      </w:r>
      <w:r>
        <w:rPr>
          <w:rFonts w:ascii="Malgun Gothic" w:eastAsia="Malgun Gothic" w:hAnsi="Malgun Gothic" w:cs="Malgun Gothic"/>
          <w:szCs w:val="28"/>
        </w:rPr>
      </w:r>
      <w:r w:rsidR="009010F1">
        <w:rPr>
          <w:rFonts w:ascii="Malgun Gothic" w:eastAsia="Malgun Gothic" w:hAnsi="Malgun Gothic" w:cs="Malgun Gothic"/>
          <w:szCs w:val="28"/>
        </w:rPr>
      </w:r>
      <w:r>
        <w:rPr>
          <w:rFonts w:ascii="Malgun Gothic" w:eastAsia="Malgun Gothic" w:hAnsi="Malgun Gothic" w:cs="Malgun Gothic"/>
          <w:szCs w:val="28"/>
        </w:rPr>
      </w:r>
      <w:r w:rsidRPr="009B7F7E">
        <w:rPr>
          <w:rFonts w:ascii="Malgun Gothic" w:eastAsia="Malgun Gothic" w:hAnsi="Malgun Gothic" w:cs="Malgun Gothic"/>
          <w:szCs w:val="28"/>
        </w:rPr>
        <w:t xml:space="preserve"/>
      </w:r>
    </w:p>
    <w:p w14:paraId="7AB8D2B1" w14:textId="3467657B" w:rsidR="00897E50" w:rsidRPr="002D5D35"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F95089">
        <w:rPr>
          <w:rFonts w:ascii="Malgun Gothic" w:eastAsia="Malgun Gothic" w:hAnsi="Malgun Gothic" w:cs="Malgun Gothic"/>
          <w:szCs w:val="28"/>
        </w:rPr>
        <w:t xml:space="preserve">예수님의 이 말씀을 마음에 새기며, 사랑에 기초한 일치의 은사를 위해 기도합시다. 분열에 맞서기 위해, 이웃에 대한 자비를 실천할 수 있는 은혜를 주님께 청합시다.</w:t>
      </w:r>
      <w:r w:rsidR="009010F1">
        <w:rPr>
          <w:rFonts w:ascii="Malgun Gothic" w:eastAsia="Malgun Gothic" w:hAnsi="Malgun Gothic" w:cs="Malgun Gothic"/>
          <w:szCs w:val="28"/>
        </w:rPr>
      </w:r>
      <w:r w:rsidRPr="00F95089">
        <w:rPr>
          <w:rFonts w:ascii="Malgun Gothic" w:eastAsia="Malgun Gothic" w:hAnsi="Malgun Gothic" w:cs="Malgun Gothic"/>
          <w:szCs w:val="28"/>
        </w:rPr>
        <w:t xml:space="preserve"/>
      </w:r>
    </w:p>
    <w:p w14:paraId="58588EA9" w14:textId="77777777" w:rsidR="002D5D35" w:rsidRPr="002D5D35" w:rsidRDefault="002D5D35" w:rsidP="002D5D35">
      <w:pPr>
        <w:spacing w:line="240" w:lineRule="auto"/>
        <w:rPr>
          <w:rFonts w:ascii="Malgun Gothic" w:eastAsia="Malgun Gothic" w:hAnsi="Malgun Gothic" w:cs="Malgun Gothic"/>
          <w:sz w:val="32"/>
          <w:szCs w:val="32"/>
          <w:lang w:val="en-GB"/>
        </w:rPr>
      </w:pPr>
    </w:p>
    <w:p w14:paraId="56585374" w14:textId="77777777" w:rsidR="00DE1FD9" w:rsidRPr="002D5D35" w:rsidRDefault="00DE1FD9" w:rsidP="002D5D35">
      <w:pPr>
        <w:spacing w:after="160" w:line="240" w:lineRule="auto"/>
        <w:rPr>
          <w:lang w:val="en-GB"/>
        </w:rPr>
      </w:pPr>
      <w:r w:rsidRPr="00BD6717">
        <w:rPr>
          <w:noProof/>
          <w:lang w:val="en-GB"/>
        </w:rPr>
        <w:lastRenderedPageBreak/>
        <w:drawing>
          <wp:inline distT="0" distB="0" distL="0" distR="0" wp14:anchorId="15867D48" wp14:editId="6380FB76">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r w:rsidRPr="00517AA3">
        <w:rPr>
          <w:noProof/>
        </w:rPr>
        <w:drawing>
          <wp:inline distT="0" distB="0" distL="0" distR="0" wp14:anchorId="663BC292" wp14:editId="1DA439AD">
            <wp:extent cx="8222706" cy="4410075"/>
            <wp:effectExtent l="0" t="0" r="6985"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37251" cy="4417876"/>
                    </a:xfrm>
                    <a:prstGeom prst="rect">
                      <a:avLst/>
                    </a:prstGeom>
                    <a:noFill/>
                    <a:ln>
                      <a:noFill/>
                    </a:ln>
                  </pic:spPr>
                </pic:pic>
              </a:graphicData>
            </a:graphic>
          </wp:inline>
        </w:drawing>
      </w:r>
    </w:p>
    <w:p w14:paraId="1F77C6FD" w14:textId="514DE702" w:rsidR="00F1710D" w:rsidRPr="00897E50" w:rsidRDefault="00F1710D" w:rsidP="0097400E">
      <w:pPr>
        <w:spacing w:line="192" w:lineRule="auto"/>
        <w:ind w:left="360"/>
        <w:jc w:val="center"/>
        <w:rPr>
          <w:lang w:val="en-G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60DA"/>
    <w:rsid w:val="00D537D4"/>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Plantilla%20de%20adoración.dotx</Template>
  <TotalTime>1</TotalTime>
  <Pages>3</Pages>
  <Words>214</Words>
  <Characters>1223</Characters>
  <Application>Microsoft Office Word</Application>
  <DocSecurity>0</DocSecurity>
  <Lines>10</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2</cp:revision>
  <cp:lastPrinted>2024-06-25T23:32:00Z</cp:lastPrinted>
  <dcterms:created xsi:type="dcterms:W3CDTF">2025-05-16T06:38:00Z</dcterms:created>
  <dcterms:modified xsi:type="dcterms:W3CDTF">2025-05-16T06:38:00Z</dcterms:modified>
</cp:coreProperties>
</file>